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C3" w:rsidRPr="000E5156" w:rsidRDefault="000A33C3">
      <w:pPr>
        <w:jc w:val="center"/>
        <w:rPr>
          <w:rFonts w:ascii="Verdana" w:eastAsia="Verdana" w:hAnsi="Verdana" w:cs="Verdana"/>
          <w:b/>
          <w:sz w:val="20"/>
          <w:szCs w:val="20"/>
          <w:lang w:val="uk-UA"/>
        </w:rPr>
      </w:pPr>
    </w:p>
    <w:p w:rsidR="00833A1A" w:rsidRPr="000E5156" w:rsidRDefault="008E582D">
      <w:pPr>
        <w:jc w:val="center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ТЕХНІЧНЕ ЗАВДАННЯ</w:t>
      </w:r>
    </w:p>
    <w:p w:rsidR="00833A1A" w:rsidRPr="000E5156" w:rsidRDefault="008E582D">
      <w:pPr>
        <w:jc w:val="center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на розробку та реалізацію комунікаційної кампанії</w:t>
      </w:r>
    </w:p>
    <w:p w:rsidR="00833A1A" w:rsidRPr="000E5156" w:rsidRDefault="008E582D">
      <w:pPr>
        <w:jc w:val="center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щодо запуску веб-платформи «Електронна приймальня» у 4 Містах Доброчесності</w:t>
      </w:r>
    </w:p>
    <w:p w:rsidR="00833A1A" w:rsidRPr="000E5156" w:rsidRDefault="00833A1A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9D2DD7">
      <w:pPr>
        <w:numPr>
          <w:ilvl w:val="0"/>
          <w:numId w:val="4"/>
        </w:numPr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ВСТУП</w:t>
      </w:r>
    </w:p>
    <w:p w:rsidR="00833A1A" w:rsidRPr="000E5156" w:rsidRDefault="00833A1A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Антикорупційна ініціатива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ЄС (EUACI) – це комплексна антикорупційна програма ЄС в Україні, що фінансується ЄС та 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>урядом Королівства Данія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та реалізується Міністерством закордонних справ Данії. Програма сприяє зменшенню корупції в Україні на національному та місцевому рівнях шляхом розширення прав і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можливостей громадян, громадянського суспільства та бізнесу, а також посилення спроможності державних установ та органів місцевого самоврядування.</w:t>
      </w:r>
    </w:p>
    <w:p w:rsidR="00833A1A" w:rsidRPr="000E5156" w:rsidRDefault="00833A1A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Антикорупційн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>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ініціатив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>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ЄС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має на меті покращити антикорупційну політику України шляхом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підтримки ключових антико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 xml:space="preserve">рупційних державних інституцій,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посилення нагляду за впровадженням реформ з боку Парламенту.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 xml:space="preserve"> Підтримка прозорого та доброчесного Відновлення України,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підтримка громадянського суспільства, засобів масової інформації, що проводять розслідування, 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>також підтримка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орган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>ів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влади на національному та місцевому рівнях. Результатом комплексної співпраці є динаміка суттєвого покращення загальної ефективності України у боротьбі з корупцією. </w:t>
      </w:r>
    </w:p>
    <w:p w:rsidR="00833A1A" w:rsidRPr="000E5156" w:rsidRDefault="00833A1A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У чотирьох містах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 xml:space="preserve"> Доброчесності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(Житомир, Нікополь, Червоноград, Чернівці) EUACI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співпрацює з міськими 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 xml:space="preserve">головами та міськими радами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з метою посилення прозорості,</w:t>
      </w:r>
      <w:r w:rsid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підзвітності та доброчесності.</w:t>
      </w:r>
    </w:p>
    <w:p w:rsidR="00833A1A" w:rsidRPr="000E5156" w:rsidRDefault="00833A1A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 w:rsidP="000E5156">
      <w:pPr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Зокрема, було надано технічну підтримку таким містам як Нікополь, Житомир, Чернівці та Червоноград.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Допомога була надана з метою впровадження та розвитку електронною приймальні громадян (Е-приймальня). Веб-платформа була розроблена в рамках проекту «Міста доброчесності EUACI». Електронна приймальня призначена для отримання, обробки та оприлюднення інфор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мації в рамках двосторонньої взаємодії між міською радою, її виконавчими органами, підпорядкованими підприємствами, установами, організаціями та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жителями територіальної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територіальної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громади, юридичними та фізичними особами, з метою:</w:t>
      </w:r>
    </w:p>
    <w:p w:rsidR="00833A1A" w:rsidRPr="000E5156" w:rsidRDefault="00833A1A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оптимізувати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процес надання зворотного зв’язку за допомогою сучасних цифрових засобів;</w:t>
      </w:r>
    </w:p>
    <w:p w:rsidR="00833A1A" w:rsidRPr="000E5156" w:rsidRDefault="008E582D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організувати процес накопичення інформації, її систематизації та встановлення пріоритетів для реагування на запити, що надходять від жителів територіальної громади, юридичних та фізи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чних осіб до ОМС;</w:t>
      </w:r>
    </w:p>
    <w:p w:rsidR="00833A1A" w:rsidRPr="000E5156" w:rsidRDefault="008E582D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організувати ефективний моніторинг реагування працівників ОМС на запити та звернення, що надходять від жителів територіальної громади, юридичних та фізичних осіб, що пов’язані з їхнім опрацюванням;</w:t>
      </w:r>
    </w:p>
    <w:p w:rsidR="00833A1A" w:rsidRPr="000E5156" w:rsidRDefault="008E582D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«Е-приймальні» – це інструмент цифрової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комунікації між місцевою владою та громадянами, використання якого сприятиме зменшенню корупційних ризиків, які можуть виникнути у випадку фізичного контакту;</w:t>
      </w:r>
    </w:p>
    <w:p w:rsidR="00833A1A" w:rsidRPr="000E5156" w:rsidRDefault="00833A1A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9D2DD7">
      <w:pPr>
        <w:numPr>
          <w:ilvl w:val="0"/>
          <w:numId w:val="4"/>
        </w:numPr>
        <w:spacing w:before="240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lastRenderedPageBreak/>
        <w:t>ЗАГАЛЬНА МЕТА ТА ОЧІКУВАНІ РЕЗУЛЬТАТИ КАМПАНІЇ</w:t>
      </w:r>
    </w:p>
    <w:p w:rsidR="00833A1A" w:rsidRPr="000E5156" w:rsidRDefault="008E582D" w:rsidP="00F902D6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Основною метою кампанії є розробка та впровадженн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я комунікаційної кампані</w:t>
      </w:r>
      <w:r w:rsidR="00F902D6">
        <w:rPr>
          <w:rFonts w:ascii="Verdana" w:eastAsia="Verdana" w:hAnsi="Verdana" w:cs="Verdana"/>
          <w:sz w:val="20"/>
          <w:szCs w:val="20"/>
          <w:lang w:val="uk-UA"/>
        </w:rPr>
        <w:t>ї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, яка допоможе популяризувати електронну приймальню серед цільових аудиторій.</w:t>
      </w:r>
      <w:r w:rsidR="00F902D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</w:p>
    <w:p w:rsidR="00833A1A" w:rsidRPr="000E5156" w:rsidRDefault="008E582D" w:rsidP="00F902D6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Кампанія також націлена на підвищення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впізнаваності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EUACI як надійного партнера із впровадження інструментів задля прозорості, підзвітності та доброчесно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сті.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 xml:space="preserve">Завдання кампанії </w:t>
      </w:r>
    </w:p>
    <w:p w:rsidR="00833A1A" w:rsidRPr="000E5156" w:rsidRDefault="008E582D">
      <w:pPr>
        <w:numPr>
          <w:ilvl w:val="0"/>
          <w:numId w:val="1"/>
        </w:num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Проінформувати аудиторію про «Е-приймальн</w:t>
      </w:r>
      <w:r w:rsidR="00F902D6">
        <w:rPr>
          <w:rFonts w:ascii="Verdana" w:eastAsia="Verdana" w:hAnsi="Verdana" w:cs="Verdana"/>
          <w:sz w:val="20"/>
          <w:szCs w:val="20"/>
          <w:lang w:val="uk-UA"/>
        </w:rPr>
        <w:t>ю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» та її переваги у взаємодії з ОМС.</w:t>
      </w:r>
    </w:p>
    <w:p w:rsidR="00833A1A" w:rsidRPr="000E5156" w:rsidRDefault="008E582D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Збільшити рівень обізнаності щодо функціоналу та можливостей веб-платформи.</w:t>
      </w:r>
    </w:p>
    <w:p w:rsidR="00833A1A" w:rsidRPr="000E5156" w:rsidRDefault="008E582D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Залучити якомога ширше коло потенційних користувачів до активного використання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Е-приймальні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для вирішення їхніх питань.</w:t>
      </w:r>
    </w:p>
    <w:p w:rsidR="000A33C3" w:rsidRPr="000E5156" w:rsidRDefault="008E582D" w:rsidP="000A33C3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Налагодити комунікацію між громадськістю та ОМС щодо використання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Е-приймальні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. </w:t>
      </w:r>
    </w:p>
    <w:p w:rsidR="000A33C3" w:rsidRPr="000E5156" w:rsidRDefault="000A33C3" w:rsidP="000A33C3">
      <w:pPr>
        <w:rPr>
          <w:rFonts w:ascii="Verdana" w:eastAsia="Verdana" w:hAnsi="Verdana" w:cs="Verdana"/>
          <w:sz w:val="20"/>
          <w:szCs w:val="20"/>
          <w:lang w:val="uk-UA"/>
        </w:rPr>
      </w:pPr>
    </w:p>
    <w:tbl>
      <w:tblPr>
        <w:tblStyle w:val="a"/>
        <w:tblpPr w:leftFromText="180" w:rightFromText="180" w:vertAnchor="page" w:horzAnchor="page" w:tblpX="1267" w:tblpY="7716"/>
        <w:tblW w:w="87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9"/>
        <w:gridCol w:w="4365"/>
      </w:tblGrid>
      <w:tr w:rsidR="009D2DD7" w:rsidRPr="000E5156" w:rsidTr="009D2DD7">
        <w:trPr>
          <w:trHeight w:val="538"/>
        </w:trPr>
        <w:tc>
          <w:tcPr>
            <w:tcW w:w="8744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Громадськість (користувачі платформою)</w:t>
            </w:r>
          </w:p>
        </w:tc>
      </w:tr>
      <w:tr w:rsidR="009D2DD7" w:rsidRPr="000E5156" w:rsidTr="009D2DD7">
        <w:trPr>
          <w:trHeight w:val="342"/>
        </w:trPr>
        <w:tc>
          <w:tcPr>
            <w:tcW w:w="4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Аудиторія 1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Аудиторія 2</w:t>
            </w:r>
          </w:p>
        </w:tc>
      </w:tr>
      <w:tr w:rsidR="009D2DD7" w:rsidRPr="000E5156" w:rsidTr="009D2DD7">
        <w:trPr>
          <w:trHeight w:val="2818"/>
        </w:trPr>
        <w:tc>
          <w:tcPr>
            <w:tcW w:w="4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9D2DD7">
              <w:rPr>
                <w:rFonts w:ascii="Verdana" w:eastAsia="Verdana" w:hAnsi="Verdana" w:cs="Verdana"/>
                <w:sz w:val="20"/>
                <w:szCs w:val="20"/>
                <w:lang w:val="uk-UA"/>
              </w:rPr>
              <w:t>чоловіки та жінки ≈ 25-40 років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проживають у місті Житомир/Червоноград/Нікополь/Чернівці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найчастіше отримують послуги онлайн через ДІЮ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 xml:space="preserve">актуальні </w:t>
            </w:r>
            <w:proofErr w:type="spellStart"/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адмінпослуги</w:t>
            </w:r>
            <w:proofErr w:type="spellEnd"/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 xml:space="preserve">: реєстрація актів цивільного стану, бізнесів, паспортні послуги, соціальний захист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9D2DD7">
              <w:rPr>
                <w:rFonts w:ascii="Verdana" w:eastAsia="Verdana" w:hAnsi="Verdana" w:cs="Verdana"/>
                <w:sz w:val="20"/>
                <w:szCs w:val="20"/>
                <w:lang w:val="uk-UA"/>
              </w:rPr>
              <w:t>чоловіки та жінки ≈ 50+ років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проживають у місті Житомир/Червоноград/Нікополь/Чернівці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найчастіше отримують послуги у фізичних відділеннях ЦНАП, на пошті, у міській раді</w:t>
            </w:r>
          </w:p>
          <w:p w:rsidR="009D2DD7" w:rsidRPr="000E5156" w:rsidRDefault="009D2DD7" w:rsidP="009D2DD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 xml:space="preserve">актуальні </w:t>
            </w:r>
            <w:proofErr w:type="spellStart"/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адмінпослуги</w:t>
            </w:r>
            <w:proofErr w:type="spellEnd"/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 xml:space="preserve">: соціальні послуги, вирішення майнових та земельних питань, нотаріальні послуги </w:t>
            </w:r>
          </w:p>
        </w:tc>
      </w:tr>
      <w:tr w:rsidR="009D2DD7" w:rsidRPr="000E5156" w:rsidTr="009D2DD7">
        <w:trPr>
          <w:trHeight w:val="538"/>
        </w:trPr>
        <w:tc>
          <w:tcPr>
            <w:tcW w:w="87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DD7" w:rsidRPr="000E5156" w:rsidRDefault="009D2DD7" w:rsidP="009D2DD7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 xml:space="preserve">Залучення користувачів до користування системою: реєстрація, подання звернень, комунікація з владою. </w:t>
            </w:r>
          </w:p>
        </w:tc>
      </w:tr>
    </w:tbl>
    <w:p w:rsidR="00F902D6" w:rsidRDefault="000A33C3" w:rsidP="000A33C3">
      <w:pPr>
        <w:rPr>
          <w:rFonts w:ascii="Verdana" w:eastAsia="Verdana" w:hAnsi="Verdana" w:cs="Verdana"/>
          <w:b/>
          <w:bCs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bCs/>
          <w:sz w:val="20"/>
          <w:szCs w:val="20"/>
          <w:lang w:val="uk-UA"/>
        </w:rPr>
        <w:t>Цільова аудиторія</w:t>
      </w:r>
      <w:r w:rsidR="009D2DD7">
        <w:rPr>
          <w:rFonts w:ascii="Verdana" w:eastAsia="Verdana" w:hAnsi="Verdana" w:cs="Verdana"/>
          <w:b/>
          <w:bCs/>
          <w:sz w:val="20"/>
          <w:szCs w:val="20"/>
          <w:lang w:val="uk-UA"/>
        </w:rPr>
        <w:t xml:space="preserve"> </w:t>
      </w:r>
    </w:p>
    <w:p w:rsidR="009D2DD7" w:rsidRDefault="009D2DD7" w:rsidP="000A33C3">
      <w:pPr>
        <w:rPr>
          <w:rFonts w:ascii="Verdana" w:eastAsia="Verdana" w:hAnsi="Verdana" w:cs="Verdana"/>
          <w:b/>
          <w:bCs/>
          <w:sz w:val="20"/>
          <w:szCs w:val="20"/>
          <w:lang w:val="uk-UA"/>
        </w:rPr>
      </w:pPr>
    </w:p>
    <w:p w:rsidR="009D2DD7" w:rsidRDefault="009D2DD7" w:rsidP="000A33C3">
      <w:pPr>
        <w:rPr>
          <w:rFonts w:ascii="Verdana" w:eastAsia="Verdana" w:hAnsi="Verdana" w:cs="Verdana"/>
          <w:b/>
          <w:bCs/>
          <w:sz w:val="20"/>
          <w:szCs w:val="20"/>
          <w:lang w:val="uk-UA"/>
        </w:rPr>
      </w:pPr>
    </w:p>
    <w:p w:rsidR="009D2DD7" w:rsidRDefault="009D2DD7" w:rsidP="000A33C3">
      <w:pPr>
        <w:rPr>
          <w:rFonts w:ascii="Verdana" w:eastAsia="Verdana" w:hAnsi="Verdana" w:cs="Verdana"/>
          <w:b/>
          <w:bCs/>
          <w:sz w:val="20"/>
          <w:szCs w:val="20"/>
          <w:lang w:val="uk-UA"/>
        </w:rPr>
      </w:pPr>
    </w:p>
    <w:tbl>
      <w:tblPr>
        <w:tblStyle w:val="a0"/>
        <w:tblW w:w="8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5"/>
      </w:tblGrid>
      <w:tr w:rsidR="00833A1A" w:rsidRPr="000E5156">
        <w:trPr>
          <w:trHeight w:val="440"/>
        </w:trPr>
        <w:tc>
          <w:tcPr>
            <w:tcW w:w="87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Медіа</w:t>
            </w:r>
          </w:p>
        </w:tc>
      </w:tr>
      <w:tr w:rsidR="00833A1A" w:rsidRPr="000E5156"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Регіональний рівень</w:t>
            </w:r>
          </w:p>
        </w:tc>
      </w:tr>
      <w:tr w:rsidR="00833A1A" w:rsidRPr="000E5156"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Висвітлення роботи системи крізь призму її впливу на задоволення адміністративних запитів громадян.</w:t>
            </w:r>
          </w:p>
        </w:tc>
      </w:tr>
    </w:tbl>
    <w:p w:rsidR="00833A1A" w:rsidRPr="000E5156" w:rsidRDefault="00833A1A">
      <w:pPr>
        <w:spacing w:before="240"/>
        <w:rPr>
          <w:rFonts w:ascii="Verdana" w:eastAsia="Verdana" w:hAnsi="Verdana" w:cs="Verdana"/>
          <w:b/>
          <w:sz w:val="20"/>
          <w:szCs w:val="20"/>
          <w:lang w:val="uk-UA"/>
        </w:rPr>
      </w:pPr>
    </w:p>
    <w:p w:rsidR="00833A1A" w:rsidRPr="000E5156" w:rsidRDefault="009D2DD7">
      <w:pPr>
        <w:spacing w:before="240"/>
        <w:ind w:left="425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3. ОБСЯГ РОБІТ ТА ОЧІКУВАНІ РЕЗУЛЬТАТИ</w:t>
      </w:r>
    </w:p>
    <w:p w:rsidR="000A33C3" w:rsidRPr="000E5156" w:rsidRDefault="008E582D" w:rsidP="009D2DD7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Розробка концепції комунікаційної кампанії з просування «Е-приймальн</w:t>
      </w:r>
      <w:r w:rsidR="00F459AC">
        <w:rPr>
          <w:rFonts w:ascii="Verdana" w:eastAsia="Verdana" w:hAnsi="Verdana" w:cs="Verdana"/>
          <w:sz w:val="20"/>
          <w:szCs w:val="20"/>
          <w:lang w:val="uk-UA"/>
        </w:rPr>
        <w:t>і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» на основі проведеного ситуативного аналізу у кожному місті,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медіамоніторингу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, сесій та інтерв’ю з командою представників міста та EUACI. Концепція має бути узгоджена і затверджена Замов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ником після розробки Виконавцем.</w:t>
      </w:r>
    </w:p>
    <w:p w:rsidR="00833A1A" w:rsidRPr="000E5156" w:rsidRDefault="008E582D" w:rsidP="009D2DD7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Основні завдання в рамках комунікаційної кампанії: </w:t>
      </w:r>
    </w:p>
    <w:p w:rsidR="00833A1A" w:rsidRPr="000E5156" w:rsidRDefault="008E582D">
      <w:pPr>
        <w:numPr>
          <w:ilvl w:val="0"/>
          <w:numId w:val="3"/>
        </w:num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розробка макетів рекламних оголошень для розміщення на зовнішніх носіях міста; 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забезпечення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медіаактивності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в інформаційному просторі регіону та частково країни; 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ств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орення рекламних дописів з відповідним візуальним супроводом для соціальних мереж;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створення інформаційних заходів з місцевими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блогерами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; 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розробка освітніх матеріалів для користувачів системи;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розробка роздаткових матеріалів для розміщення в місцях наданн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я адміністративних послуг;</w:t>
      </w:r>
    </w:p>
    <w:p w:rsidR="00833A1A" w:rsidRPr="000E5156" w:rsidRDefault="008E582D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медіамоніторинг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; 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 xml:space="preserve">Очікувані результати: </w:t>
      </w:r>
    </w:p>
    <w:p w:rsidR="00833A1A" w:rsidRPr="000E5156" w:rsidRDefault="008E582D">
      <w:pPr>
        <w:numPr>
          <w:ilvl w:val="0"/>
          <w:numId w:val="6"/>
        </w:num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єдина концепція комунікаційної кампанії для 4-х міст;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br/>
      </w:r>
    </w:p>
    <w:p w:rsidR="00833A1A" w:rsidRPr="000E5156" w:rsidRDefault="008E582D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макети візуальних матеріалів та їх розміщення: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5 макетів для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білбордів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10 макетів для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сітілайтів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10 макетів для плакатів розміру 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2;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br/>
      </w:r>
    </w:p>
    <w:p w:rsidR="00833A1A" w:rsidRPr="000E5156" w:rsidRDefault="008E582D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інформаційні матеріали, розміщені регіональних медіа кожного з 4-х міста: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6 інформаційних колонок для кожного міста – загальна к-сть 24 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5 авторських блогів для кожного міста – загальна к-сть 20;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br/>
      </w:r>
    </w:p>
    <w:p w:rsidR="00833A1A" w:rsidRPr="000E5156" w:rsidRDefault="008E582D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дописи (текст та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візуал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) у місцевих соціальних мережа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х кожного міста: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опис платформи – 1 допис для </w:t>
      </w:r>
      <w:r w:rsidR="00F459AC">
        <w:rPr>
          <w:rFonts w:ascii="Verdana" w:eastAsia="Verdana" w:hAnsi="Verdana" w:cs="Verdana"/>
          <w:sz w:val="20"/>
          <w:szCs w:val="20"/>
          <w:lang w:val="uk-UA"/>
        </w:rPr>
        <w:t xml:space="preserve">кожного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міста – загальна к-сть 4;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функціонал платформи – 1 допис для</w:t>
      </w:r>
      <w:r w:rsidR="00F459AC">
        <w:rPr>
          <w:rFonts w:ascii="Verdana" w:eastAsia="Verdana" w:hAnsi="Verdana" w:cs="Verdana"/>
          <w:sz w:val="20"/>
          <w:szCs w:val="20"/>
          <w:lang w:val="uk-UA"/>
        </w:rPr>
        <w:t xml:space="preserve"> кожного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міста – загальна к-сть 4;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покрокова інструкція з використання платформи – 1 допис для міста – загальна к-сть 4;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динаміка використання платформи (з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інфографікою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) – 6 дописів для міста – загальна к-сть 24;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аналітичні матеріали по темам/типам звернень – 6 дописів для міста – загальна к-сть 24;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консультаційна підтримка (відповіді на часті питання) – 6 дописів для міста – загальна к-сть 24;</w:t>
      </w:r>
    </w:p>
    <w:p w:rsidR="000A33C3" w:rsidRPr="000E5156" w:rsidRDefault="008E582D" w:rsidP="000A33C3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lastRenderedPageBreak/>
        <w:t xml:space="preserve">особистісні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міні-історії користувачів платформи (на конкретних прикладах показати ефективність та зручність платформи) – 4 дописи для кожна міста – загальна к-сть 16;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*Дописи створюються на основі інформації, наданої представниками кожного міста. Кожен допис має бути </w:t>
      </w: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>унікальним, включаючи текст та супровідні візуальні матеріали.</w:t>
      </w:r>
    </w:p>
    <w:p w:rsidR="00833A1A" w:rsidRPr="000E5156" w:rsidRDefault="008E582D">
      <w:pPr>
        <w:numPr>
          <w:ilvl w:val="0"/>
          <w:numId w:val="6"/>
        </w:num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освітній продукт для користувачів: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1 короткий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відеоурок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, адаптований до специфіки платформи кожного з 4-х міст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міст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;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1 короткий візуальний посібник, адаптований для публікації в місцевих соціал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ьних мережах у кожному з 4-х міст;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br/>
      </w:r>
    </w:p>
    <w:p w:rsidR="00833A1A" w:rsidRPr="000E5156" w:rsidRDefault="008E582D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роздаткові матеріали:</w:t>
      </w:r>
    </w:p>
    <w:p w:rsidR="00833A1A" w:rsidRPr="000E5156" w:rsidRDefault="008E582D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макети листівок – 2 версії для кожного міста - всього 8 шт.;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i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>* Кількість друкованих примірників визначається та узгоджується на етапі презентації концепції.</w:t>
      </w:r>
    </w:p>
    <w:p w:rsidR="00833A1A" w:rsidRPr="000E5156" w:rsidRDefault="008E582D">
      <w:pPr>
        <w:numPr>
          <w:ilvl w:val="0"/>
          <w:numId w:val="6"/>
        </w:num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щотижневі звіти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медіамоніторингу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– 20-24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шт. (залежно від дати початку реалізації кампанії);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br/>
      </w:r>
    </w:p>
    <w:p w:rsidR="00833A1A" w:rsidRPr="000E5156" w:rsidRDefault="001B47D6">
      <w:pPr>
        <w:spacing w:before="240"/>
        <w:ind w:left="425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4. ЧАСОВІ РАМКИ</w:t>
      </w:r>
    </w:p>
    <w:p w:rsidR="00833A1A" w:rsidRPr="000E5156" w:rsidRDefault="008E582D" w:rsidP="001B47D6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Очікується, що кампанія буде розроблена в </w:t>
      </w:r>
      <w:r w:rsidR="001B47D6">
        <w:rPr>
          <w:rFonts w:ascii="Verdana" w:eastAsia="Verdana" w:hAnsi="Verdana" w:cs="Verdana"/>
          <w:sz w:val="20"/>
          <w:szCs w:val="20"/>
          <w:lang w:val="uk-UA"/>
        </w:rPr>
        <w:t>лютому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2024 року, триватиме </w:t>
      </w:r>
      <w:r w:rsidR="001B47D6">
        <w:rPr>
          <w:rFonts w:ascii="Verdana" w:eastAsia="Verdana" w:hAnsi="Verdana" w:cs="Verdana"/>
          <w:sz w:val="20"/>
          <w:szCs w:val="20"/>
          <w:lang w:val="uk-UA"/>
        </w:rPr>
        <w:t>5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місяців і буде завершена до кінця </w:t>
      </w:r>
      <w:r w:rsidR="001B47D6">
        <w:rPr>
          <w:rFonts w:ascii="Verdana" w:eastAsia="Verdana" w:hAnsi="Verdana" w:cs="Verdana"/>
          <w:sz w:val="20"/>
          <w:szCs w:val="20"/>
          <w:lang w:val="uk-UA"/>
        </w:rPr>
        <w:t>липня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2024 року.</w:t>
      </w:r>
    </w:p>
    <w:p w:rsidR="00833A1A" w:rsidRPr="000E5156" w:rsidRDefault="001B47D6" w:rsidP="001B47D6">
      <w:pPr>
        <w:spacing w:before="240"/>
        <w:ind w:left="425"/>
        <w:jc w:val="both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 xml:space="preserve">5. БЮДЖЕТ </w:t>
      </w:r>
    </w:p>
    <w:p w:rsidR="00833A1A" w:rsidRPr="000E5156" w:rsidRDefault="008E582D" w:rsidP="001B47D6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Орієнтовна вартість Кампанії не повинна перевищувати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30 000 євро за офіційним курсом Національного банку України на дату подання пропозиції. Послуги включають розробку концепції кампанії, візуальних макетів та інформаційних матеріалів.</w:t>
      </w:r>
    </w:p>
    <w:p w:rsidR="00833A1A" w:rsidRPr="000E5156" w:rsidRDefault="008E582D" w:rsidP="001B47D6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Друк та розміщення макетів реклами на зовнішніх носіях забезпечить Замов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ник. 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Умови оплати</w:t>
      </w:r>
    </w:p>
    <w:p w:rsidR="000A33C3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Всі платежі за Договором здійснюються в гривнях відповідно до офіційного курсу НБУ станом на робочий день виставлення рахунку-фактури Виконавцем.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Проект EUACI </w:t>
      </w:r>
      <w:r w:rsidR="00530BCF">
        <w:rPr>
          <w:rFonts w:ascii="Verdana" w:eastAsia="Verdana" w:hAnsi="Verdana" w:cs="Verdana"/>
          <w:sz w:val="20"/>
          <w:szCs w:val="20"/>
          <w:lang w:val="uk-UA"/>
        </w:rPr>
        <w:t>не є платником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ПДВ як програма міжнародної технічної допомоги.</w:t>
      </w:r>
    </w:p>
    <w:p w:rsidR="00530BCF" w:rsidRDefault="00530BCF">
      <w:pPr>
        <w:rPr>
          <w:rFonts w:ascii="Verdana" w:eastAsia="Verdana" w:hAnsi="Verdana" w:cs="Verdana"/>
          <w:b/>
          <w:sz w:val="20"/>
          <w:szCs w:val="20"/>
          <w:lang w:val="uk-UA"/>
        </w:rPr>
      </w:pPr>
      <w:r>
        <w:rPr>
          <w:rFonts w:ascii="Verdana" w:eastAsia="Verdana" w:hAnsi="Verdana" w:cs="Verdana"/>
          <w:b/>
          <w:sz w:val="20"/>
          <w:szCs w:val="20"/>
          <w:lang w:val="uk-UA"/>
        </w:rPr>
        <w:br w:type="page"/>
      </w:r>
    </w:p>
    <w:p w:rsidR="00833A1A" w:rsidRPr="000E5156" w:rsidRDefault="008E582D">
      <w:pPr>
        <w:spacing w:before="240"/>
        <w:ind w:left="425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lastRenderedPageBreak/>
        <w:t xml:space="preserve">6. </w:t>
      </w: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Критерії оцінки конкурсних пропозицій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Заявки будуть оцінюватися відповідно до критеріїв, наведених нижче:</w:t>
      </w:r>
    </w:p>
    <w:p w:rsidR="00833A1A" w:rsidRPr="000E5156" w:rsidRDefault="00833A1A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265"/>
        <w:gridCol w:w="3000"/>
      </w:tblGrid>
      <w:tr w:rsidR="00833A1A" w:rsidRPr="000E5156">
        <w:tc>
          <w:tcPr>
            <w:tcW w:w="7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#</w:t>
            </w:r>
          </w:p>
        </w:tc>
        <w:tc>
          <w:tcPr>
            <w:tcW w:w="52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Умови</w:t>
            </w:r>
          </w:p>
        </w:tc>
        <w:tc>
          <w:tcPr>
            <w:tcW w:w="30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% значущості</w:t>
            </w:r>
          </w:p>
        </w:tc>
      </w:tr>
      <w:tr w:rsidR="00833A1A" w:rsidRPr="000E515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20%</w:t>
            </w:r>
          </w:p>
        </w:tc>
      </w:tr>
      <w:tr w:rsidR="00833A1A" w:rsidRPr="000E515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Портфоліо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50%</w:t>
            </w:r>
          </w:p>
        </w:tc>
      </w:tr>
      <w:tr w:rsidR="00833A1A" w:rsidRPr="000E515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CV команди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1A" w:rsidRPr="000E5156" w:rsidRDefault="008E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uk-UA"/>
              </w:rPr>
            </w:pPr>
            <w:r w:rsidRPr="000E5156">
              <w:rPr>
                <w:rFonts w:ascii="Verdana" w:eastAsia="Verdana" w:hAnsi="Verdana" w:cs="Verdana"/>
                <w:sz w:val="20"/>
                <w:szCs w:val="20"/>
                <w:lang w:val="uk-UA"/>
              </w:rPr>
              <w:t>30%</w:t>
            </w:r>
          </w:p>
        </w:tc>
      </w:tr>
    </w:tbl>
    <w:p w:rsidR="00833A1A" w:rsidRPr="000E5156" w:rsidRDefault="00833A1A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</w:p>
    <w:p w:rsidR="00833A1A" w:rsidRPr="000E5156" w:rsidRDefault="008E582D">
      <w:pPr>
        <w:spacing w:before="240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Як подати заявку на участь</w:t>
      </w:r>
    </w:p>
    <w:p w:rsidR="00530BCF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Пропозиції </w:t>
      </w:r>
      <w:r w:rsidR="00530BCF">
        <w:rPr>
          <w:rFonts w:ascii="Verdana" w:eastAsia="Verdana" w:hAnsi="Verdana" w:cs="Verdana"/>
          <w:sz w:val="20"/>
          <w:szCs w:val="20"/>
          <w:lang w:val="uk-UA"/>
        </w:rPr>
        <w:t xml:space="preserve">з </w:t>
      </w:r>
    </w:p>
    <w:p w:rsidR="00530BCF" w:rsidRDefault="008E582D" w:rsidP="00530BCF">
      <w:pPr>
        <w:rPr>
          <w:rFonts w:ascii="Verdana" w:eastAsia="Verdana" w:hAnsi="Verdana" w:cs="Verdana"/>
          <w:i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1) </w:t>
      </w:r>
      <w:r w:rsidR="00530BCF">
        <w:rPr>
          <w:rFonts w:ascii="Verdana" w:eastAsia="Verdana" w:hAnsi="Verdana" w:cs="Verdana"/>
          <w:i/>
          <w:sz w:val="20"/>
          <w:szCs w:val="20"/>
          <w:lang w:val="uk-UA"/>
        </w:rPr>
        <w:t>описом (</w:t>
      </w: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>методологі</w:t>
      </w:r>
      <w:r w:rsidR="00530BCF">
        <w:rPr>
          <w:rFonts w:ascii="Verdana" w:eastAsia="Verdana" w:hAnsi="Verdana" w:cs="Verdana"/>
          <w:i/>
          <w:sz w:val="20"/>
          <w:szCs w:val="20"/>
          <w:lang w:val="uk-UA"/>
        </w:rPr>
        <w:t>єю)</w:t>
      </w: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 реалізації проекту, </w:t>
      </w:r>
    </w:p>
    <w:p w:rsidR="00530BCF" w:rsidRDefault="008E582D" w:rsidP="00530BCF">
      <w:pPr>
        <w:rPr>
          <w:rFonts w:ascii="Verdana" w:eastAsia="Verdana" w:hAnsi="Verdana" w:cs="Verdana"/>
          <w:i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2) </w:t>
      </w: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портфоліо, </w:t>
      </w:r>
    </w:p>
    <w:p w:rsidR="00530BCF" w:rsidRDefault="008E582D" w:rsidP="00530BCF">
      <w:pPr>
        <w:rPr>
          <w:rFonts w:ascii="Verdana" w:eastAsia="Verdana" w:hAnsi="Verdana" w:cs="Verdana"/>
          <w:i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3) </w:t>
      </w:r>
      <w:r w:rsidRPr="00530BCF">
        <w:rPr>
          <w:rFonts w:ascii="Verdana" w:eastAsia="Verdana" w:hAnsi="Verdana" w:cs="Verdana"/>
          <w:i/>
          <w:sz w:val="20"/>
          <w:szCs w:val="20"/>
          <w:lang w:val="uk-UA"/>
        </w:rPr>
        <w:t>CV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="00530BCF">
        <w:rPr>
          <w:rFonts w:ascii="Verdana" w:eastAsia="Verdana" w:hAnsi="Verdana" w:cs="Verdana"/>
          <w:i/>
          <w:sz w:val="20"/>
          <w:szCs w:val="20"/>
          <w:lang w:val="uk-UA"/>
        </w:rPr>
        <w:t>команди</w:t>
      </w:r>
      <w:r w:rsidRPr="000E5156">
        <w:rPr>
          <w:rFonts w:ascii="Verdana" w:eastAsia="Verdana" w:hAnsi="Verdana" w:cs="Verdana"/>
          <w:i/>
          <w:sz w:val="20"/>
          <w:szCs w:val="20"/>
          <w:lang w:val="uk-UA"/>
        </w:rPr>
        <w:t xml:space="preserve"> </w:t>
      </w:r>
    </w:p>
    <w:p w:rsidR="00833A1A" w:rsidRPr="000E5156" w:rsidRDefault="008E582D" w:rsidP="00530BCF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подаються лише в електронному форматі впродовж зазначеного нижче терміну на електронну адресу:</w:t>
      </w:r>
      <w:r w:rsidRPr="000E5156">
        <w:rPr>
          <w:rFonts w:ascii="Verdana" w:eastAsia="Verdana" w:hAnsi="Verdana" w:cs="Verdana"/>
          <w:color w:val="0000FF"/>
          <w:sz w:val="20"/>
          <w:szCs w:val="20"/>
          <w:lang w:val="uk-UA"/>
        </w:rPr>
        <w:t xml:space="preserve"> dmyiak@um.dk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, cc: </w:t>
      </w:r>
      <w:r w:rsidRPr="000E5156">
        <w:rPr>
          <w:rFonts w:ascii="Verdana" w:eastAsia="Verdana" w:hAnsi="Verdana" w:cs="Verdana"/>
          <w:color w:val="0000FF"/>
          <w:sz w:val="20"/>
          <w:szCs w:val="20"/>
          <w:lang w:val="uk-UA"/>
        </w:rPr>
        <w:t>yanryz@um.dk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, вказавши в темі листа в темі листа “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communication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campaign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«E-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Reception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 w:rsidRPr="000E5156">
        <w:rPr>
          <w:rFonts w:ascii="Verdana" w:eastAsia="Verdana" w:hAnsi="Verdana" w:cs="Verdana"/>
          <w:sz w:val="20"/>
          <w:szCs w:val="20"/>
          <w:lang w:val="uk-UA"/>
        </w:rPr>
        <w:t>Hall</w:t>
      </w:r>
      <w:proofErr w:type="spellEnd"/>
      <w:r w:rsidRPr="000E5156">
        <w:rPr>
          <w:rFonts w:ascii="Verdana" w:eastAsia="Verdana" w:hAnsi="Verdana" w:cs="Verdana"/>
          <w:sz w:val="20"/>
          <w:szCs w:val="20"/>
          <w:lang w:val="uk-UA"/>
        </w:rPr>
        <w:t>».</w:t>
      </w:r>
    </w:p>
    <w:p w:rsidR="00833A1A" w:rsidRPr="000E5156" w:rsidRDefault="008E582D" w:rsidP="00530BCF">
      <w:pPr>
        <w:spacing w:before="240"/>
        <w:jc w:val="both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Будь-які запитання щодо 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роз'яснень до конкурсної пропозиції слід надсилати на адресу: </w:t>
      </w:r>
      <w:r w:rsidRPr="000E5156">
        <w:rPr>
          <w:rFonts w:ascii="Verdana" w:eastAsia="Verdana" w:hAnsi="Verdana" w:cs="Verdana"/>
          <w:color w:val="0000FF"/>
          <w:sz w:val="20"/>
          <w:szCs w:val="20"/>
          <w:lang w:val="uk-UA"/>
        </w:rPr>
        <w:t>dmyiak@um.dk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, cc: </w:t>
      </w:r>
      <w:r w:rsidRPr="000E5156">
        <w:rPr>
          <w:rFonts w:ascii="Verdana" w:eastAsia="Verdana" w:hAnsi="Verdana" w:cs="Verdana"/>
          <w:color w:val="0000FF"/>
          <w:sz w:val="20"/>
          <w:szCs w:val="20"/>
          <w:lang w:val="uk-UA"/>
        </w:rPr>
        <w:t>yanryz@um.dk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, не пізніше 1</w:t>
      </w:r>
      <w:r w:rsidR="00530BCF">
        <w:rPr>
          <w:rFonts w:ascii="Verdana" w:eastAsia="Verdana" w:hAnsi="Verdana" w:cs="Verdana"/>
          <w:sz w:val="20"/>
          <w:szCs w:val="20"/>
          <w:lang w:val="uk-UA"/>
        </w:rPr>
        <w:t>9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 січня 2023 року, 18:00 за </w:t>
      </w:r>
      <w:r w:rsidR="006F076E">
        <w:rPr>
          <w:rFonts w:ascii="Verdana" w:eastAsia="Verdana" w:hAnsi="Verdana" w:cs="Verdana"/>
          <w:sz w:val="20"/>
          <w:szCs w:val="20"/>
          <w:lang w:val="uk-UA"/>
        </w:rPr>
        <w:t>К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иївським часом.</w:t>
      </w:r>
    </w:p>
    <w:p w:rsidR="00833A1A" w:rsidRPr="00530BCF" w:rsidRDefault="008E582D" w:rsidP="00530BCF">
      <w:pPr>
        <w:spacing w:before="240"/>
        <w:jc w:val="both"/>
        <w:rPr>
          <w:rFonts w:ascii="Verdana" w:eastAsia="Verdana" w:hAnsi="Verdana" w:cs="Verdana"/>
          <w:b/>
          <w:sz w:val="20"/>
          <w:szCs w:val="20"/>
          <w:lang w:val="uk-UA"/>
        </w:rPr>
      </w:pPr>
      <w:r w:rsidRPr="00530BCF">
        <w:rPr>
          <w:rFonts w:ascii="Verdana" w:eastAsia="Verdana" w:hAnsi="Verdana" w:cs="Verdana"/>
          <w:b/>
          <w:sz w:val="20"/>
          <w:szCs w:val="20"/>
          <w:lang w:val="uk-UA"/>
        </w:rPr>
        <w:t xml:space="preserve">Кінцевий термін подання пропозицій - </w:t>
      </w:r>
      <w:r w:rsidR="00F84199">
        <w:rPr>
          <w:rFonts w:ascii="Verdana" w:eastAsia="Verdana" w:hAnsi="Verdana" w:cs="Verdana"/>
          <w:b/>
          <w:sz w:val="20"/>
          <w:szCs w:val="20"/>
          <w:lang w:val="uk-UA"/>
        </w:rPr>
        <w:t>30</w:t>
      </w:r>
      <w:r w:rsidRPr="00530BCF">
        <w:rPr>
          <w:rFonts w:ascii="Verdana" w:eastAsia="Verdana" w:hAnsi="Verdana" w:cs="Verdana"/>
          <w:b/>
          <w:sz w:val="20"/>
          <w:szCs w:val="20"/>
          <w:lang w:val="uk-UA"/>
        </w:rPr>
        <w:t xml:space="preserve"> січня 2024 року, 18:00 за </w:t>
      </w:r>
      <w:r w:rsidR="006F076E">
        <w:rPr>
          <w:rFonts w:ascii="Verdana" w:eastAsia="Verdana" w:hAnsi="Verdana" w:cs="Verdana"/>
          <w:b/>
          <w:sz w:val="20"/>
          <w:szCs w:val="20"/>
          <w:lang w:val="uk-UA"/>
        </w:rPr>
        <w:t>К</w:t>
      </w:r>
      <w:r w:rsidRPr="00530BCF">
        <w:rPr>
          <w:rFonts w:ascii="Verdana" w:eastAsia="Verdana" w:hAnsi="Verdana" w:cs="Verdana"/>
          <w:b/>
          <w:sz w:val="20"/>
          <w:szCs w:val="20"/>
          <w:lang w:val="uk-UA"/>
        </w:rPr>
        <w:t>иївським часом.</w:t>
      </w:r>
    </w:p>
    <w:p w:rsidR="00833A1A" w:rsidRPr="000E5156" w:rsidRDefault="008E582D">
      <w:pPr>
        <w:spacing w:before="240"/>
        <w:rPr>
          <w:rFonts w:ascii="Verdana" w:eastAsia="Verdana" w:hAnsi="Verdana" w:cs="Verdana"/>
          <w:sz w:val="20"/>
          <w:szCs w:val="20"/>
          <w:lang w:val="uk-UA"/>
        </w:rPr>
      </w:pPr>
      <w:r w:rsidRPr="000E5156">
        <w:rPr>
          <w:rFonts w:ascii="Verdana" w:eastAsia="Verdana" w:hAnsi="Verdana" w:cs="Verdana"/>
          <w:sz w:val="20"/>
          <w:szCs w:val="20"/>
          <w:lang w:val="uk-UA"/>
        </w:rPr>
        <w:t>Мова конкурсних пропо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 xml:space="preserve">зицій: </w:t>
      </w:r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англійська або українськ</w:t>
      </w:r>
      <w:bookmarkStart w:id="0" w:name="_GoBack"/>
      <w:bookmarkEnd w:id="0"/>
      <w:r w:rsidRPr="000E5156">
        <w:rPr>
          <w:rFonts w:ascii="Verdana" w:eastAsia="Verdana" w:hAnsi="Verdana" w:cs="Verdana"/>
          <w:b/>
          <w:sz w:val="20"/>
          <w:szCs w:val="20"/>
          <w:lang w:val="uk-UA"/>
        </w:rPr>
        <w:t>а</w:t>
      </w:r>
      <w:r w:rsidRPr="000E5156">
        <w:rPr>
          <w:rFonts w:ascii="Verdana" w:eastAsia="Verdana" w:hAnsi="Verdana" w:cs="Verdana"/>
          <w:sz w:val="20"/>
          <w:szCs w:val="20"/>
          <w:lang w:val="uk-UA"/>
        </w:rPr>
        <w:t>.</w:t>
      </w:r>
    </w:p>
    <w:sectPr w:rsidR="00833A1A" w:rsidRPr="000E515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2D" w:rsidRDefault="008E582D" w:rsidP="000A33C3">
      <w:pPr>
        <w:spacing w:line="240" w:lineRule="auto"/>
      </w:pPr>
      <w:r>
        <w:separator/>
      </w:r>
    </w:p>
  </w:endnote>
  <w:endnote w:type="continuationSeparator" w:id="0">
    <w:p w:rsidR="008E582D" w:rsidRDefault="008E582D" w:rsidP="000A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2D" w:rsidRDefault="008E582D" w:rsidP="000A33C3">
      <w:pPr>
        <w:spacing w:line="240" w:lineRule="auto"/>
      </w:pPr>
      <w:r>
        <w:separator/>
      </w:r>
    </w:p>
  </w:footnote>
  <w:footnote w:type="continuationSeparator" w:id="0">
    <w:p w:rsidR="008E582D" w:rsidRDefault="008E582D" w:rsidP="000A3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D7" w:rsidRDefault="009D2D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-163195</wp:posOffset>
          </wp:positionV>
          <wp:extent cx="1778000" cy="847328"/>
          <wp:effectExtent l="0" t="0" r="0" b="0"/>
          <wp:wrapNone/>
          <wp:docPr id="1299241838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41838" name="Рисунок 12992418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8234" r="16664" b="22507"/>
                  <a:stretch/>
                </pic:blipFill>
                <pic:spPr bwMode="auto">
                  <a:xfrm>
                    <a:off x="0" y="0"/>
                    <a:ext cx="1778000" cy="847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1475DEA" wp14:editId="09EAB9C5">
          <wp:extent cx="4295778" cy="609600"/>
          <wp:effectExtent l="0" t="0" r="0" b="0"/>
          <wp:docPr id="672014370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014370" name="Рисунок 6720143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988" cy="65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33C3" w:rsidRDefault="000A3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8A2"/>
    <w:multiLevelType w:val="multilevel"/>
    <w:tmpl w:val="AABA2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D4551F"/>
    <w:multiLevelType w:val="multilevel"/>
    <w:tmpl w:val="83DE69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B43C61"/>
    <w:multiLevelType w:val="multilevel"/>
    <w:tmpl w:val="3DFEA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364CD"/>
    <w:multiLevelType w:val="multilevel"/>
    <w:tmpl w:val="9626A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44680B"/>
    <w:multiLevelType w:val="multilevel"/>
    <w:tmpl w:val="93E07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DA674D"/>
    <w:multiLevelType w:val="multilevel"/>
    <w:tmpl w:val="97A8A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1A"/>
    <w:rsid w:val="000A33C3"/>
    <w:rsid w:val="000E5156"/>
    <w:rsid w:val="001B47D6"/>
    <w:rsid w:val="00530BCF"/>
    <w:rsid w:val="006F076E"/>
    <w:rsid w:val="00833A1A"/>
    <w:rsid w:val="008E582D"/>
    <w:rsid w:val="009D2DD7"/>
    <w:rsid w:val="00A15C1A"/>
    <w:rsid w:val="00F459AC"/>
    <w:rsid w:val="00F84199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5717"/>
  <w15:docId w15:val="{145B11AB-55F3-0942-8BAE-ED053806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3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C3"/>
  </w:style>
  <w:style w:type="paragraph" w:styleId="Footer">
    <w:name w:val="footer"/>
    <w:basedOn w:val="Normal"/>
    <w:link w:val="FooterChar"/>
    <w:uiPriority w:val="99"/>
    <w:unhideWhenUsed/>
    <w:rsid w:val="000A33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799CF8-AEF4-48EB-8968-592365AE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Dmytro Iakymchuk</cp:lastModifiedBy>
  <cp:revision>4</cp:revision>
  <dcterms:created xsi:type="dcterms:W3CDTF">2024-01-10T13:11:00Z</dcterms:created>
  <dcterms:modified xsi:type="dcterms:W3CDTF">2024-01-11T08:55:00Z</dcterms:modified>
</cp:coreProperties>
</file>